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Pr="00D15513" w:rsidRDefault="00163F7A" w:rsidP="00135B6B">
      <w:pPr>
        <w:jc w:val="center"/>
        <w:rPr>
          <w:rFonts w:ascii="Times" w:hAnsi="Times" w:cs="Times"/>
          <w:b/>
          <w:bCs/>
          <w:i/>
          <w:iCs/>
          <w:sz w:val="48"/>
          <w:szCs w:val="48"/>
          <w:u w:val="single"/>
        </w:rPr>
      </w:pPr>
      <w:r w:rsidRPr="00D15513">
        <w:rPr>
          <w:rFonts w:ascii="Times" w:hAnsi="Times" w:cs="Times"/>
          <w:b/>
          <w:bCs/>
          <w:i/>
          <w:iCs/>
          <w:sz w:val="48"/>
          <w:szCs w:val="48"/>
          <w:u w:val="single"/>
        </w:rPr>
        <w:t>INTRODUCTION GENERALE</w:t>
      </w:r>
    </w:p>
    <w:p w:rsidR="00163F7A" w:rsidRDefault="00163F7A" w:rsidP="00135B6B">
      <w:pPr>
        <w:jc w:val="center"/>
        <w:rPr>
          <w:rFonts w:ascii="Times" w:hAnsi="Times" w:cs="Times"/>
          <w:b/>
          <w:bCs/>
          <w:sz w:val="26"/>
          <w:szCs w:val="26"/>
        </w:rPr>
      </w:pPr>
    </w:p>
    <w:p w:rsidR="00163F7A" w:rsidRDefault="00163F7A" w:rsidP="00135B6B">
      <w:pPr>
        <w:jc w:val="center"/>
        <w:rPr>
          <w:rFonts w:ascii="Times" w:hAnsi="Times" w:cs="Times"/>
          <w:b/>
          <w:bCs/>
          <w:sz w:val="26"/>
          <w:szCs w:val="26"/>
        </w:rPr>
      </w:pPr>
    </w:p>
    <w:p w:rsidR="00163F7A" w:rsidRDefault="00163F7A">
      <w:pPr>
        <w:spacing w:after="200" w:line="276" w:lineRule="auto"/>
        <w:rPr>
          <w:rFonts w:ascii="Times" w:hAnsi="Times" w:cs="Times"/>
          <w:b/>
          <w:bCs/>
          <w:sz w:val="26"/>
          <w:szCs w:val="26"/>
        </w:rPr>
      </w:pPr>
      <w:r>
        <w:rPr>
          <w:rFonts w:ascii="Times" w:hAnsi="Times" w:cs="Times"/>
          <w:b/>
          <w:bCs/>
          <w:sz w:val="26"/>
          <w:szCs w:val="26"/>
        </w:rPr>
        <w:br w:type="page"/>
      </w:r>
    </w:p>
    <w:p w:rsidR="00163F7A" w:rsidRPr="00AE25E8" w:rsidRDefault="00163F7A" w:rsidP="00135B6B">
      <w:pPr>
        <w:autoSpaceDE w:val="0"/>
        <w:autoSpaceDN w:val="0"/>
        <w:adjustRightInd w:val="0"/>
        <w:ind w:left="567"/>
        <w:jc w:val="center"/>
        <w:rPr>
          <w:b/>
          <w:bCs/>
          <w:color w:val="000000"/>
          <w:sz w:val="28"/>
          <w:szCs w:val="28"/>
          <w:u w:val="single"/>
        </w:rPr>
      </w:pPr>
      <w:r w:rsidRPr="00AE25E8">
        <w:rPr>
          <w:b/>
          <w:bCs/>
          <w:color w:val="000000"/>
          <w:sz w:val="28"/>
          <w:szCs w:val="28"/>
          <w:u w:val="single"/>
        </w:rPr>
        <w:t>INTRODUCTION GENERALE</w:t>
      </w:r>
    </w:p>
    <w:p w:rsidR="00163F7A" w:rsidRDefault="00163F7A" w:rsidP="00135B6B">
      <w:pPr>
        <w:autoSpaceDE w:val="0"/>
        <w:autoSpaceDN w:val="0"/>
        <w:adjustRightInd w:val="0"/>
        <w:ind w:left="1560"/>
        <w:jc w:val="both"/>
        <w:rPr>
          <w:b/>
          <w:bCs/>
          <w:color w:val="000000"/>
          <w:u w:val="single"/>
        </w:rPr>
      </w:pPr>
    </w:p>
    <w:p w:rsidR="00163F7A" w:rsidRPr="00AE25E8" w:rsidRDefault="00163F7A" w:rsidP="00135B6B">
      <w:pPr>
        <w:numPr>
          <w:ilvl w:val="0"/>
          <w:numId w:val="2"/>
        </w:numPr>
        <w:autoSpaceDE w:val="0"/>
        <w:autoSpaceDN w:val="0"/>
        <w:adjustRightInd w:val="0"/>
        <w:ind w:left="567" w:firstLine="851"/>
        <w:jc w:val="both"/>
        <w:rPr>
          <w:b/>
          <w:bCs/>
          <w:color w:val="000000"/>
          <w:u w:val="single"/>
        </w:rPr>
      </w:pPr>
      <w:r w:rsidRPr="00AE25E8">
        <w:rPr>
          <w:b/>
          <w:bCs/>
          <w:color w:val="000000"/>
          <w:u w:val="single"/>
        </w:rPr>
        <w:t xml:space="preserve">INTRODUCTION </w:t>
      </w:r>
    </w:p>
    <w:p w:rsidR="00163F7A" w:rsidRDefault="00163F7A" w:rsidP="00135B6B">
      <w:pPr>
        <w:autoSpaceDE w:val="0"/>
        <w:autoSpaceDN w:val="0"/>
        <w:adjustRightInd w:val="0"/>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 La rue actuelle est l’ultime terme de l’ancien chemin rural, établi sur le sol naturel, dont on a pavé la chaussée et qu’on a complété avec des trottoirs »</w:t>
      </w:r>
      <w:r>
        <w:rPr>
          <w:rStyle w:val="FootnoteReference"/>
          <w:color w:val="000000"/>
        </w:rPr>
        <w:footnoteReference w:id="2"/>
      </w:r>
      <w:r>
        <w:rPr>
          <w:color w:val="000000"/>
        </w:rPr>
        <w:t>.</w:t>
      </w:r>
    </w:p>
    <w:p w:rsidR="00163F7A" w:rsidRDefault="00163F7A" w:rsidP="00D45904">
      <w:pPr>
        <w:autoSpaceDE w:val="0"/>
        <w:autoSpaceDN w:val="0"/>
        <w:adjustRightInd w:val="0"/>
        <w:spacing w:line="360" w:lineRule="auto"/>
        <w:ind w:left="567" w:firstLine="1134"/>
        <w:jc w:val="both"/>
        <w:rPr>
          <w:color w:val="000000"/>
        </w:rPr>
      </w:pPr>
    </w:p>
    <w:p w:rsidR="00163F7A" w:rsidRDefault="00163F7A" w:rsidP="00D45904">
      <w:pPr>
        <w:autoSpaceDE w:val="0"/>
        <w:autoSpaceDN w:val="0"/>
        <w:adjustRightInd w:val="0"/>
        <w:spacing w:line="360" w:lineRule="auto"/>
        <w:ind w:left="567" w:firstLine="1134"/>
        <w:jc w:val="both"/>
        <w:rPr>
          <w:color w:val="000000"/>
        </w:rPr>
      </w:pPr>
      <w:r>
        <w:rPr>
          <w:color w:val="000000"/>
        </w:rPr>
        <w:t>Si l’on se donne à l’analogie le problème que pose à l’urbaniste la circulation dans les villes ne diffère pas fondamentalement de celui posé à l’architecte par la circulation dans un immeuble : Le principe de base est celui illustré par la disposition classique des couloirs et des pièces. Plus l’immeuble est complexe plus le réseau contenant cette circulation devient à son tour complexe.</w:t>
      </w:r>
    </w:p>
    <w:p w:rsidR="00163F7A" w:rsidRDefault="00163F7A" w:rsidP="003C7B04">
      <w:pPr>
        <w:autoSpaceDE w:val="0"/>
        <w:autoSpaceDN w:val="0"/>
        <w:adjustRightInd w:val="0"/>
        <w:spacing w:line="360" w:lineRule="auto"/>
        <w:ind w:left="567" w:firstLine="1134"/>
        <w:jc w:val="both"/>
        <w:rPr>
          <w:color w:val="000000"/>
        </w:rPr>
      </w:pPr>
    </w:p>
    <w:p w:rsidR="00163F7A" w:rsidRDefault="00163F7A" w:rsidP="003C7B04">
      <w:pPr>
        <w:autoSpaceDE w:val="0"/>
        <w:autoSpaceDN w:val="0"/>
        <w:adjustRightInd w:val="0"/>
        <w:spacing w:line="360" w:lineRule="auto"/>
        <w:ind w:left="567" w:firstLine="1134"/>
        <w:jc w:val="both"/>
        <w:rPr>
          <w:color w:val="000000"/>
        </w:rPr>
      </w:pPr>
      <w:r>
        <w:rPr>
          <w:color w:val="000000"/>
        </w:rPr>
        <w:t xml:space="preserve">Le fonctionnement de l’ensemble est assuré par la création de zones d’environnement. Dans tout les cas où le volume de la circulation tend à dépasser les possibilités de l’environnement, des mesures sont rapidement prises pour la réduire ou la détourner. </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Le transport terrestre  et le déplacement urbain sont intrinsèquement liés. Toutes les villes évoluent de façon naturelle du fait de la démographie, du progrès et de l’activité socio-professionnelle. On ne peut ; à partir de là ; que soumettre un fond physique qualitativement suffisant à véhiculer tout les déplacements qu’engendre cette évolution.</w:t>
      </w:r>
    </w:p>
    <w:p w:rsidR="00163F7A" w:rsidRDefault="00163F7A" w:rsidP="003430E3">
      <w:pPr>
        <w:autoSpaceDE w:val="0"/>
        <w:autoSpaceDN w:val="0"/>
        <w:adjustRightInd w:val="0"/>
        <w:spacing w:line="360" w:lineRule="auto"/>
        <w:ind w:left="567" w:firstLine="1134"/>
        <w:jc w:val="both"/>
        <w:rPr>
          <w:color w:val="000000"/>
        </w:rPr>
      </w:pPr>
    </w:p>
    <w:p w:rsidR="00163F7A" w:rsidRDefault="00163F7A" w:rsidP="003430E3">
      <w:pPr>
        <w:autoSpaceDE w:val="0"/>
        <w:autoSpaceDN w:val="0"/>
        <w:adjustRightInd w:val="0"/>
        <w:spacing w:line="360" w:lineRule="auto"/>
        <w:ind w:left="567" w:firstLine="1134"/>
        <w:jc w:val="both"/>
        <w:rPr>
          <w:color w:val="000000"/>
        </w:rPr>
      </w:pPr>
      <w:r>
        <w:rPr>
          <w:color w:val="000000"/>
        </w:rPr>
        <w:t>La pérennité de tout réseau de transport ; urbain ou non,  dépend de sa nature physique d’abord, mais surtout de sa gestion technique et institutionnelle. L’évolution de la demande de déplacement étant un facteur social et économique tout disfonctionnement dans cette dualité aura impérativement une répercussion négative sur l’un et l’autre des aspects et s’étendra aux autres champs dont l’écologie et l’environnement.</w:t>
      </w:r>
    </w:p>
    <w:p w:rsidR="00163F7A" w:rsidRDefault="00163F7A" w:rsidP="003430E3">
      <w:pPr>
        <w:autoSpaceDE w:val="0"/>
        <w:autoSpaceDN w:val="0"/>
        <w:adjustRightInd w:val="0"/>
        <w:spacing w:line="360" w:lineRule="auto"/>
        <w:ind w:left="567" w:firstLine="1134"/>
        <w:jc w:val="both"/>
        <w:rPr>
          <w:color w:val="000000"/>
        </w:rPr>
      </w:pPr>
    </w:p>
    <w:p w:rsidR="00163F7A" w:rsidRDefault="00163F7A" w:rsidP="003430E3">
      <w:pPr>
        <w:autoSpaceDE w:val="0"/>
        <w:autoSpaceDN w:val="0"/>
        <w:adjustRightInd w:val="0"/>
        <w:spacing w:line="360" w:lineRule="auto"/>
        <w:ind w:left="567" w:firstLine="1134"/>
        <w:jc w:val="both"/>
        <w:rPr>
          <w:color w:val="000000"/>
        </w:rPr>
      </w:pPr>
      <w:r>
        <w:rPr>
          <w:color w:val="000000"/>
        </w:rPr>
        <w:t xml:space="preserve">Le débat depuis plus d’une décennie sur l’environnement et le développement durable des sociétés inscrit les transports tout genres confondus dans le fond des sources de nuisances combien même ces transports sont les supports de l’évolution. </w:t>
      </w:r>
    </w:p>
    <w:p w:rsidR="00163F7A" w:rsidRDefault="00163F7A" w:rsidP="003430E3">
      <w:pPr>
        <w:autoSpaceDE w:val="0"/>
        <w:autoSpaceDN w:val="0"/>
        <w:adjustRightInd w:val="0"/>
        <w:spacing w:line="360" w:lineRule="auto"/>
        <w:ind w:left="567" w:firstLine="1134"/>
        <w:jc w:val="both"/>
        <w:rPr>
          <w:color w:val="000000"/>
        </w:rPr>
      </w:pPr>
    </w:p>
    <w:p w:rsidR="00163F7A" w:rsidRDefault="00163F7A" w:rsidP="004C2B6B">
      <w:pPr>
        <w:autoSpaceDE w:val="0"/>
        <w:autoSpaceDN w:val="0"/>
        <w:adjustRightInd w:val="0"/>
        <w:spacing w:line="360" w:lineRule="auto"/>
        <w:ind w:left="567" w:firstLine="1134"/>
        <w:jc w:val="both"/>
        <w:rPr>
          <w:color w:val="000000"/>
        </w:rPr>
      </w:pPr>
      <w:r>
        <w:rPr>
          <w:color w:val="000000"/>
        </w:rPr>
        <w:t>La bonne gouvernance et gestion des modes de transports est donc un débat aussi incontournable que celui de l’environnement. Les sociétés évoluées continuent sans cesse d’une part de faire et défaire leurs réseaux de transport terrestre et d’autre part d’instaurer les moyens juridiques et institutionnels pour encadrer constamment de manière optimale le transport car souvent  celui-ci présente des chevauchements entre les limites fonctionnelles du réseau de transport et les limites institutionnelles du support physique de ce même réseau.</w:t>
      </w:r>
    </w:p>
    <w:p w:rsidR="00163F7A" w:rsidRDefault="00163F7A" w:rsidP="003430E3">
      <w:pPr>
        <w:autoSpaceDE w:val="0"/>
        <w:autoSpaceDN w:val="0"/>
        <w:adjustRightInd w:val="0"/>
        <w:spacing w:line="360" w:lineRule="auto"/>
        <w:ind w:left="567" w:firstLine="1134"/>
        <w:jc w:val="both"/>
        <w:rPr>
          <w:color w:val="000000"/>
        </w:rPr>
      </w:pPr>
    </w:p>
    <w:p w:rsidR="00163F7A" w:rsidRPr="00721B0E" w:rsidRDefault="00163F7A" w:rsidP="003430E3">
      <w:pPr>
        <w:numPr>
          <w:ilvl w:val="0"/>
          <w:numId w:val="2"/>
        </w:numPr>
        <w:autoSpaceDE w:val="0"/>
        <w:autoSpaceDN w:val="0"/>
        <w:adjustRightInd w:val="0"/>
        <w:ind w:left="567" w:firstLine="851"/>
        <w:jc w:val="both"/>
        <w:rPr>
          <w:b/>
          <w:bCs/>
          <w:caps/>
          <w:color w:val="000000"/>
          <w:u w:val="single"/>
        </w:rPr>
      </w:pPr>
      <w:r w:rsidRPr="00721B0E">
        <w:rPr>
          <w:b/>
          <w:bCs/>
          <w:caps/>
          <w:color w:val="000000"/>
          <w:u w:val="single"/>
        </w:rPr>
        <w:t>Problématique</w:t>
      </w:r>
    </w:p>
    <w:p w:rsidR="00163F7A" w:rsidRDefault="00163F7A" w:rsidP="003430E3">
      <w:pPr>
        <w:autoSpaceDE w:val="0"/>
        <w:autoSpaceDN w:val="0"/>
        <w:adjustRightInd w:val="0"/>
        <w:spacing w:line="360" w:lineRule="auto"/>
        <w:ind w:left="567" w:firstLine="1134"/>
        <w:jc w:val="both"/>
        <w:rPr>
          <w:color w:val="000000"/>
        </w:rPr>
      </w:pPr>
    </w:p>
    <w:p w:rsidR="00163F7A" w:rsidRDefault="00163F7A" w:rsidP="003430E3">
      <w:pPr>
        <w:autoSpaceDE w:val="0"/>
        <w:autoSpaceDN w:val="0"/>
        <w:adjustRightInd w:val="0"/>
        <w:spacing w:line="360" w:lineRule="auto"/>
        <w:ind w:left="567" w:firstLine="1134"/>
        <w:jc w:val="both"/>
        <w:rPr>
          <w:color w:val="000000"/>
        </w:rPr>
      </w:pPr>
      <w:r>
        <w:rPr>
          <w:color w:val="000000"/>
        </w:rPr>
        <w:t>La ville de Mostaganem ; qui est une ville moyenne, connait à l’instar des autres  villes d’Algérie un grand problème de transport urbain et périurbain ; notamment en terme de transport collectif car celui-ci est censé répondre à la demande de déplacement urbain.</w:t>
      </w:r>
    </w:p>
    <w:p w:rsidR="00163F7A" w:rsidRDefault="00163F7A" w:rsidP="003430E3">
      <w:pPr>
        <w:autoSpaceDE w:val="0"/>
        <w:autoSpaceDN w:val="0"/>
        <w:adjustRightInd w:val="0"/>
        <w:ind w:firstLine="851"/>
        <w:jc w:val="both"/>
        <w:rPr>
          <w:color w:val="000000"/>
        </w:rPr>
      </w:pPr>
    </w:p>
    <w:p w:rsidR="00163F7A" w:rsidRDefault="00163F7A" w:rsidP="003430E3">
      <w:pPr>
        <w:autoSpaceDE w:val="0"/>
        <w:autoSpaceDN w:val="0"/>
        <w:adjustRightInd w:val="0"/>
        <w:spacing w:line="360" w:lineRule="auto"/>
        <w:ind w:left="567" w:firstLine="1134"/>
        <w:jc w:val="both"/>
        <w:rPr>
          <w:color w:val="000000"/>
        </w:rPr>
      </w:pPr>
      <w:r>
        <w:rPr>
          <w:color w:val="000000"/>
        </w:rPr>
        <w:t>Jusque là l’évolution du tissu urbain n’obéit qu’à des schémas de circulations superposés qui restent dissociés par leurs modes. Bien que chaque mode de transport collectif ou en commun; bus ; taxi ou autre réponde à une partie de la demande de transport urbain ; la qualité de ce déplacement n’est plus devenu la priorité et c’est dans ce sens que nous comptons introduire l’intermodalité en tant que pratique urbaine.</w:t>
      </w:r>
    </w:p>
    <w:p w:rsidR="00163F7A" w:rsidRDefault="00163F7A" w:rsidP="00135B6B">
      <w:pPr>
        <w:autoSpaceDE w:val="0"/>
        <w:autoSpaceDN w:val="0"/>
        <w:adjustRightInd w:val="0"/>
        <w:spacing w:line="360" w:lineRule="auto"/>
        <w:ind w:left="567" w:firstLine="1134"/>
        <w:jc w:val="both"/>
        <w:rPr>
          <w:color w:val="000000"/>
        </w:rPr>
      </w:pPr>
      <w:r>
        <w:rPr>
          <w:color w:val="000000"/>
        </w:rPr>
        <w:t xml:space="preserve">Nous nous sommes posé au départ les questions fondamentales  et centrales suivantes : </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230265">
      <w:pPr>
        <w:numPr>
          <w:ilvl w:val="0"/>
          <w:numId w:val="4"/>
        </w:numPr>
        <w:tabs>
          <w:tab w:val="clear" w:pos="2421"/>
          <w:tab w:val="num" w:pos="1620"/>
        </w:tabs>
        <w:autoSpaceDE w:val="0"/>
        <w:autoSpaceDN w:val="0"/>
        <w:adjustRightInd w:val="0"/>
        <w:spacing w:line="360" w:lineRule="auto"/>
        <w:ind w:left="1620" w:hanging="1080"/>
        <w:jc w:val="both"/>
        <w:rPr>
          <w:b/>
          <w:i/>
          <w:color w:val="000000"/>
          <w:u w:val="single"/>
        </w:rPr>
      </w:pPr>
      <w:r>
        <w:rPr>
          <w:b/>
          <w:i/>
          <w:color w:val="000000"/>
          <w:u w:val="single"/>
        </w:rPr>
        <w:t>« La conception des réseaux de transports collectifs urbains peut elle se faire en dehors de l’élaborations des instruments d’urbanisme ou en l’absence d’instruments spécifiques ? »</w:t>
      </w:r>
    </w:p>
    <w:p w:rsidR="00163F7A" w:rsidRDefault="00163F7A" w:rsidP="00850711">
      <w:pPr>
        <w:autoSpaceDE w:val="0"/>
        <w:autoSpaceDN w:val="0"/>
        <w:adjustRightInd w:val="0"/>
        <w:spacing w:line="360" w:lineRule="auto"/>
        <w:ind w:left="540"/>
        <w:jc w:val="both"/>
        <w:rPr>
          <w:b/>
          <w:i/>
          <w:color w:val="000000"/>
          <w:u w:val="single"/>
        </w:rPr>
      </w:pPr>
    </w:p>
    <w:p w:rsidR="00163F7A" w:rsidRDefault="00163F7A" w:rsidP="00230265">
      <w:pPr>
        <w:numPr>
          <w:ilvl w:val="0"/>
          <w:numId w:val="4"/>
        </w:numPr>
        <w:tabs>
          <w:tab w:val="clear" w:pos="2421"/>
          <w:tab w:val="num" w:pos="1620"/>
        </w:tabs>
        <w:autoSpaceDE w:val="0"/>
        <w:autoSpaceDN w:val="0"/>
        <w:adjustRightInd w:val="0"/>
        <w:spacing w:line="360" w:lineRule="auto"/>
        <w:ind w:left="1620" w:hanging="1080"/>
        <w:jc w:val="both"/>
        <w:rPr>
          <w:b/>
          <w:i/>
          <w:color w:val="000000"/>
          <w:u w:val="single"/>
        </w:rPr>
      </w:pPr>
      <w:r w:rsidRPr="00230265">
        <w:rPr>
          <w:b/>
          <w:i/>
          <w:color w:val="000000"/>
          <w:u w:val="single"/>
        </w:rPr>
        <w:t>« L’espace urbain étant constamment en évolution ; comment pourrait-on faire pour que le réseau de transport urbain puisse être en phase avec cette évolution</w:t>
      </w:r>
      <w:r>
        <w:rPr>
          <w:b/>
          <w:i/>
          <w:color w:val="000000"/>
          <w:u w:val="single"/>
        </w:rPr>
        <w:t xml:space="preserve"> sans être ingérable </w:t>
      </w:r>
      <w:r w:rsidRPr="00230265">
        <w:rPr>
          <w:b/>
          <w:i/>
          <w:color w:val="000000"/>
          <w:u w:val="single"/>
        </w:rPr>
        <w:t>? »</w:t>
      </w:r>
    </w:p>
    <w:p w:rsidR="00163F7A" w:rsidRDefault="00163F7A" w:rsidP="00230265">
      <w:pPr>
        <w:autoSpaceDE w:val="0"/>
        <w:autoSpaceDN w:val="0"/>
        <w:adjustRightInd w:val="0"/>
        <w:spacing w:line="360" w:lineRule="auto"/>
        <w:ind w:left="540"/>
        <w:jc w:val="both"/>
        <w:rPr>
          <w:b/>
          <w:i/>
          <w:color w:val="000000"/>
          <w:u w:val="single"/>
        </w:rPr>
      </w:pPr>
    </w:p>
    <w:p w:rsidR="00163F7A" w:rsidRDefault="00163F7A" w:rsidP="00230265">
      <w:pPr>
        <w:numPr>
          <w:ilvl w:val="0"/>
          <w:numId w:val="4"/>
        </w:numPr>
        <w:tabs>
          <w:tab w:val="clear" w:pos="2421"/>
          <w:tab w:val="num" w:pos="1620"/>
        </w:tabs>
        <w:autoSpaceDE w:val="0"/>
        <w:autoSpaceDN w:val="0"/>
        <w:adjustRightInd w:val="0"/>
        <w:spacing w:line="360" w:lineRule="auto"/>
        <w:ind w:left="1620" w:hanging="1080"/>
        <w:jc w:val="both"/>
        <w:rPr>
          <w:b/>
          <w:i/>
          <w:color w:val="000000"/>
          <w:u w:val="single"/>
        </w:rPr>
      </w:pPr>
      <w:r>
        <w:rPr>
          <w:b/>
          <w:i/>
          <w:color w:val="000000"/>
          <w:u w:val="single"/>
        </w:rPr>
        <w:t>« Comment concilier les limites fonctionnelles d’un réseau de transport collectif  urbain avec ses limites institutionnelles ? »</w:t>
      </w:r>
    </w:p>
    <w:p w:rsidR="00163F7A" w:rsidRDefault="00163F7A" w:rsidP="00B07520">
      <w:pPr>
        <w:autoSpaceDE w:val="0"/>
        <w:autoSpaceDN w:val="0"/>
        <w:adjustRightInd w:val="0"/>
        <w:spacing w:line="360" w:lineRule="auto"/>
        <w:jc w:val="both"/>
        <w:rPr>
          <w:b/>
          <w:i/>
          <w:color w:val="000000"/>
          <w:u w:val="single"/>
        </w:rPr>
      </w:pPr>
    </w:p>
    <w:p w:rsidR="00163F7A" w:rsidRDefault="00163F7A" w:rsidP="00230265">
      <w:pPr>
        <w:numPr>
          <w:ilvl w:val="0"/>
          <w:numId w:val="4"/>
        </w:numPr>
        <w:tabs>
          <w:tab w:val="clear" w:pos="2421"/>
          <w:tab w:val="num" w:pos="1620"/>
        </w:tabs>
        <w:autoSpaceDE w:val="0"/>
        <w:autoSpaceDN w:val="0"/>
        <w:adjustRightInd w:val="0"/>
        <w:spacing w:line="360" w:lineRule="auto"/>
        <w:ind w:left="1620" w:hanging="1080"/>
        <w:jc w:val="both"/>
        <w:rPr>
          <w:b/>
          <w:i/>
          <w:color w:val="000000"/>
          <w:u w:val="single"/>
        </w:rPr>
      </w:pPr>
      <w:r>
        <w:rPr>
          <w:b/>
          <w:i/>
          <w:color w:val="000000"/>
          <w:u w:val="single"/>
        </w:rPr>
        <w:t>Quel est le rapport entre la mobilité sociale et la mobilité urbaine ?</w:t>
      </w:r>
    </w:p>
    <w:p w:rsidR="00163F7A" w:rsidRDefault="00163F7A" w:rsidP="00B07520">
      <w:pPr>
        <w:autoSpaceDE w:val="0"/>
        <w:autoSpaceDN w:val="0"/>
        <w:adjustRightInd w:val="0"/>
        <w:spacing w:line="360" w:lineRule="auto"/>
        <w:jc w:val="both"/>
        <w:rPr>
          <w:b/>
          <w:i/>
          <w:color w:val="000000"/>
          <w:u w:val="single"/>
        </w:rPr>
      </w:pPr>
    </w:p>
    <w:p w:rsidR="00163F7A" w:rsidRDefault="00163F7A" w:rsidP="00230265">
      <w:pPr>
        <w:numPr>
          <w:ilvl w:val="0"/>
          <w:numId w:val="4"/>
        </w:numPr>
        <w:tabs>
          <w:tab w:val="clear" w:pos="2421"/>
          <w:tab w:val="num" w:pos="1620"/>
        </w:tabs>
        <w:autoSpaceDE w:val="0"/>
        <w:autoSpaceDN w:val="0"/>
        <w:adjustRightInd w:val="0"/>
        <w:spacing w:line="360" w:lineRule="auto"/>
        <w:ind w:left="1620" w:hanging="1080"/>
        <w:jc w:val="both"/>
        <w:rPr>
          <w:b/>
          <w:i/>
          <w:color w:val="000000"/>
          <w:u w:val="single"/>
        </w:rPr>
      </w:pPr>
      <w:r>
        <w:rPr>
          <w:b/>
          <w:i/>
          <w:color w:val="000000"/>
          <w:u w:val="single"/>
        </w:rPr>
        <w:t>Les transports collectifs sont facteurs de nuisances environnementales ; est-ce  cause de leurs réseaux mal conçus ou à cause de leur mauvaise gestion ?</w:t>
      </w:r>
    </w:p>
    <w:p w:rsidR="00163F7A" w:rsidRDefault="00163F7A" w:rsidP="00230265">
      <w:pPr>
        <w:autoSpaceDE w:val="0"/>
        <w:autoSpaceDN w:val="0"/>
        <w:adjustRightInd w:val="0"/>
        <w:spacing w:line="360" w:lineRule="auto"/>
        <w:jc w:val="both"/>
        <w:rPr>
          <w:b/>
          <w:i/>
          <w:color w:val="000000"/>
          <w:u w:val="single"/>
        </w:rPr>
      </w:pPr>
    </w:p>
    <w:p w:rsidR="00163F7A" w:rsidRDefault="00163F7A" w:rsidP="00135B6B">
      <w:pPr>
        <w:autoSpaceDE w:val="0"/>
        <w:autoSpaceDN w:val="0"/>
        <w:adjustRightInd w:val="0"/>
        <w:spacing w:line="360" w:lineRule="auto"/>
        <w:ind w:left="567" w:firstLine="1134"/>
        <w:jc w:val="both"/>
        <w:rPr>
          <w:color w:val="000000"/>
        </w:rPr>
      </w:pPr>
      <w:r>
        <w:rPr>
          <w:color w:val="000000"/>
        </w:rPr>
        <w:t>C’est dans cette optique que doit être réfléchie une réorganisation des pratiques de déplacement urbain. Si on ne fait aucune réflexion profonde pour connecter les différents modes de transport collectif ou en commun ; pour offrir à l’usager l’opportunité de faire un déplacement urbain économique et agréable on aboutira systématiquement à créer des déplacements ingérables et par la force des choses nous subirons les désagréments de cette ingestion.</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Le changement de mode de transport ou de déplacement urbain dans un même parcours permettra déjà des gains en énergie puisque chaque mode de transport collectif fonctionnera dans l’optimum de sa capacité d’où l’agrément que peut avoir l’usager.</w:t>
      </w:r>
    </w:p>
    <w:p w:rsidR="00163F7A" w:rsidRDefault="00163F7A" w:rsidP="00135B6B">
      <w:pPr>
        <w:autoSpaceDE w:val="0"/>
        <w:autoSpaceDN w:val="0"/>
        <w:adjustRightInd w:val="0"/>
        <w:spacing w:line="360" w:lineRule="auto"/>
        <w:ind w:left="567" w:firstLine="1134"/>
        <w:jc w:val="both"/>
        <w:rPr>
          <w:color w:val="000000"/>
        </w:rPr>
      </w:pPr>
      <w:r>
        <w:rPr>
          <w:color w:val="000000"/>
        </w:rPr>
        <w:t>Cela n’est guère facile car l’usager doit être convaincu par une politique d’information et de sensibilisation pour l’amener à faire les choix des modes de transport variés qu’on lui offre.</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Il faudra d’abord requalifier chaque mode séparément (Bus, Train, tramway, Autocar, etc.…) ensuite mener une politique d’harmonisation des tarifs, d’information sur les différentes offres de transport. Enfin il faudra créer des pôles d’échanges et des plateformes multi-modales de transports collectifs.</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 xml:space="preserve">Ces plateformes devront être matérialisées dans le tissu urbain et prévues dans le contexte de l’évolution urbaine puisque les instruments d’urbanisme eux-mêmes sont conçus avec des portées dans le temps </w:t>
      </w:r>
      <w:r w:rsidRPr="002C6D94">
        <w:rPr>
          <w:color w:val="000000"/>
        </w:rPr>
        <w:t>de l’ordre de 25 ans pour les PDAU et 10 ans pour les POS</w:t>
      </w:r>
      <w:r w:rsidRPr="002C6D94">
        <w:rPr>
          <w:rStyle w:val="FootnoteReference"/>
          <w:color w:val="000000"/>
        </w:rPr>
        <w:footnoteReference w:id="3"/>
      </w:r>
      <w:r>
        <w:rPr>
          <w:color w:val="000000"/>
        </w:rPr>
        <w:t xml:space="preserve">. </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L’absence d’autres instruments en vigueur dans d’autres pays comme les PLU (Plan Local d’Urbanisme), les PDU (Plan de déplacement Urbain), les SCOT (Schéma de cohérence Territoriale) rendent toutes conceptions de réseaux inadéquates sinon incomplètes.</w:t>
      </w:r>
      <w:r w:rsidRPr="00850711">
        <w:rPr>
          <w:color w:val="000000"/>
        </w:rPr>
        <w:t xml:space="preserve"> </w:t>
      </w:r>
      <w:r>
        <w:rPr>
          <w:color w:val="000000"/>
        </w:rPr>
        <w:t>L’absence d’utilisations des SIG (Systèmes d’Information Géographique) pour concevoir et gérer les réseaux de transport limite les possibilités de dresser des bilans exhaustifs et de contrôler les points de disfonctionnement.</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Ce n’est qu’en conséquence de cela qu’on pourra estimer le gain que peut engendrer l’intermodalité dans les systèmes de transports collectifs. Ces gains se répercuteront sur le développement durable de la ville car son évolution serait positive et qualitative du fait de la bonne qualité des déplacements urbains qu’elle suscite.</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Le « </w:t>
      </w:r>
      <w:r w:rsidRPr="00955E63">
        <w:rPr>
          <w:i/>
          <w:iCs/>
          <w:color w:val="000000"/>
        </w:rPr>
        <w:t>tout automobile</w:t>
      </w:r>
      <w:r>
        <w:rPr>
          <w:color w:val="000000"/>
        </w:rPr>
        <w:t xml:space="preserve"> » que connaissent nos villes dont la ville de Mostaganem, par sa taille moyenne, n’est qu’un autre exemple accru par la croissance abusive du parc automobile. Le transport collectif ou en commun est désormais la seule alternative car il représente le reflet d’une société qui fonctionne dans sa dimension citadine. </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Néanmoins cela n’incluse pas qu’il faille aussi réfléchir avec la même ferveur à donner tout son importance aux transports doux et entre autre la marche à pied en milieu urbain car les flux pris en charge par cette alternative diminuerait les tensions excessives sur le transport en commun..</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p>
    <w:p w:rsidR="00163F7A" w:rsidRPr="00721B0E" w:rsidRDefault="00163F7A" w:rsidP="00D45904">
      <w:pPr>
        <w:numPr>
          <w:ilvl w:val="0"/>
          <w:numId w:val="2"/>
        </w:numPr>
        <w:autoSpaceDE w:val="0"/>
        <w:autoSpaceDN w:val="0"/>
        <w:adjustRightInd w:val="0"/>
        <w:ind w:left="567" w:firstLine="851"/>
        <w:jc w:val="both"/>
        <w:rPr>
          <w:b/>
          <w:bCs/>
          <w:caps/>
          <w:color w:val="000000"/>
          <w:u w:val="single"/>
        </w:rPr>
      </w:pPr>
      <w:r w:rsidRPr="00721B0E">
        <w:rPr>
          <w:b/>
          <w:bCs/>
          <w:caps/>
          <w:color w:val="000000"/>
          <w:u w:val="single"/>
        </w:rPr>
        <w:t>Hyphothèses</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La lecture de la tension que connait le centre de la commune chef lieu de la wilaya de Mostaganem (Mostaganem-ville) et dont essentiellement les raisons sont dues au chevauchements des modes de transports terrestres (Auto car, taxis, bus) et à l’exigüité des réseaux de voirie dépassés physiquement et qualitativement , nous amène à penser que la solution ne pourrait se suffire à la création d’une armature de tramway</w:t>
      </w:r>
      <w:r>
        <w:rPr>
          <w:rStyle w:val="FootnoteReference"/>
          <w:color w:val="000000"/>
        </w:rPr>
        <w:footnoteReference w:id="4"/>
      </w:r>
      <w:r>
        <w:rPr>
          <w:color w:val="000000"/>
        </w:rPr>
        <w:t>.</w:t>
      </w:r>
    </w:p>
    <w:p w:rsidR="00163F7A" w:rsidRDefault="00163F7A" w:rsidP="00135B6B">
      <w:pPr>
        <w:autoSpaceDE w:val="0"/>
        <w:autoSpaceDN w:val="0"/>
        <w:adjustRightInd w:val="0"/>
        <w:spacing w:line="360" w:lineRule="auto"/>
        <w:ind w:left="567" w:firstLine="1134"/>
        <w:jc w:val="both"/>
        <w:rPr>
          <w:color w:val="000000"/>
        </w:rPr>
      </w:pPr>
      <w:r>
        <w:rPr>
          <w:color w:val="000000"/>
        </w:rPr>
        <w:t>L’absence de coordination entre le génie routier et les concepteurs de l’espace urbain, dans l’élaboration des instruments d’urbanisme et l’absence même de  certains instruments spécifiques comme les PLU, PDU et SCOT. L’absence de débat sociétal sur les réseaux de transport collectif ainsi que la libéralisation des tarifs de transport  rendent l’usager insensible aux efforts consentis dans l’amélioration de l’offre de transport et décourage les opérateurs à innover dans leur offre.</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Deux hypothèses sont posées :</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E94D1B">
      <w:pPr>
        <w:numPr>
          <w:ilvl w:val="1"/>
          <w:numId w:val="2"/>
        </w:numPr>
        <w:tabs>
          <w:tab w:val="clear" w:pos="2858"/>
          <w:tab w:val="num" w:pos="1620"/>
        </w:tabs>
        <w:autoSpaceDE w:val="0"/>
        <w:autoSpaceDN w:val="0"/>
        <w:adjustRightInd w:val="0"/>
        <w:spacing w:line="360" w:lineRule="auto"/>
        <w:ind w:left="1620" w:hanging="540"/>
        <w:jc w:val="both"/>
        <w:rPr>
          <w:color w:val="000000"/>
        </w:rPr>
      </w:pPr>
      <w:r>
        <w:rPr>
          <w:color w:val="000000"/>
        </w:rPr>
        <w:t>Réfléchir la remise en question des réseaux de chaque mode de transport collectif pour leur optimisation ; leur connexion en vue de faire du transport en commun ; la solution au « tout automobile » que connaissent nos villes. Dans ce contexte l’intermodalité dans les transports collectifs serait la pratique à soutenir en vue d’aboutir à des systèmes de transport durables.</w:t>
      </w:r>
    </w:p>
    <w:p w:rsidR="00163F7A" w:rsidRDefault="00163F7A" w:rsidP="00E94D1B">
      <w:pPr>
        <w:tabs>
          <w:tab w:val="num" w:pos="1620"/>
        </w:tabs>
        <w:autoSpaceDE w:val="0"/>
        <w:autoSpaceDN w:val="0"/>
        <w:adjustRightInd w:val="0"/>
        <w:spacing w:line="360" w:lineRule="auto"/>
        <w:ind w:left="1620" w:hanging="540"/>
        <w:jc w:val="both"/>
        <w:rPr>
          <w:color w:val="000000"/>
        </w:rPr>
      </w:pPr>
    </w:p>
    <w:p w:rsidR="00163F7A" w:rsidRDefault="00163F7A" w:rsidP="00E94D1B">
      <w:pPr>
        <w:numPr>
          <w:ilvl w:val="1"/>
          <w:numId w:val="2"/>
        </w:numPr>
        <w:tabs>
          <w:tab w:val="clear" w:pos="2858"/>
          <w:tab w:val="num" w:pos="1620"/>
        </w:tabs>
        <w:autoSpaceDE w:val="0"/>
        <w:autoSpaceDN w:val="0"/>
        <w:adjustRightInd w:val="0"/>
        <w:spacing w:line="360" w:lineRule="auto"/>
        <w:ind w:left="1620" w:hanging="540"/>
        <w:jc w:val="both"/>
        <w:rPr>
          <w:color w:val="000000"/>
        </w:rPr>
      </w:pPr>
      <w:r>
        <w:rPr>
          <w:color w:val="000000"/>
        </w:rPr>
        <w:t>Mettre en exergue la nécessité de poser le problème de l’incompatibilité des limites fonctionnelles des réseaux de transport avec les limites institutionnelles. Le groupement de communes qui font partie des études de POS et de PDAU est une situation qui n’a aucun reflet sur la gestion commune du phénomène de déplacement et de transport urbains et périurbains.</w:t>
      </w:r>
    </w:p>
    <w:p w:rsidR="00163F7A" w:rsidRDefault="00163F7A" w:rsidP="007E3C7F">
      <w:pPr>
        <w:autoSpaceDE w:val="0"/>
        <w:autoSpaceDN w:val="0"/>
        <w:adjustRightInd w:val="0"/>
        <w:spacing w:line="360" w:lineRule="auto"/>
        <w:ind w:left="567" w:firstLine="1134"/>
        <w:jc w:val="both"/>
        <w:rPr>
          <w:color w:val="000000"/>
        </w:rPr>
      </w:pPr>
    </w:p>
    <w:p w:rsidR="00163F7A" w:rsidRDefault="00163F7A" w:rsidP="007E3C7F">
      <w:pPr>
        <w:autoSpaceDE w:val="0"/>
        <w:autoSpaceDN w:val="0"/>
        <w:adjustRightInd w:val="0"/>
        <w:spacing w:line="360" w:lineRule="auto"/>
        <w:ind w:left="567" w:firstLine="1134"/>
        <w:jc w:val="both"/>
        <w:rPr>
          <w:color w:val="000000"/>
        </w:rPr>
      </w:pPr>
    </w:p>
    <w:p w:rsidR="00163F7A" w:rsidRDefault="00163F7A" w:rsidP="007E3C7F">
      <w:pPr>
        <w:autoSpaceDE w:val="0"/>
        <w:autoSpaceDN w:val="0"/>
        <w:adjustRightInd w:val="0"/>
        <w:spacing w:line="360" w:lineRule="auto"/>
        <w:ind w:left="567" w:firstLine="1134"/>
        <w:jc w:val="both"/>
        <w:rPr>
          <w:color w:val="000000"/>
        </w:rPr>
      </w:pPr>
    </w:p>
    <w:p w:rsidR="00163F7A" w:rsidRPr="00721B0E" w:rsidRDefault="00163F7A" w:rsidP="00D45904">
      <w:pPr>
        <w:numPr>
          <w:ilvl w:val="0"/>
          <w:numId w:val="2"/>
        </w:numPr>
        <w:autoSpaceDE w:val="0"/>
        <w:autoSpaceDN w:val="0"/>
        <w:adjustRightInd w:val="0"/>
        <w:ind w:left="567" w:firstLine="851"/>
        <w:jc w:val="both"/>
        <w:rPr>
          <w:b/>
          <w:bCs/>
          <w:caps/>
          <w:color w:val="000000"/>
          <w:u w:val="single"/>
        </w:rPr>
      </w:pPr>
      <w:r w:rsidRPr="00721B0E">
        <w:rPr>
          <w:b/>
          <w:bCs/>
          <w:caps/>
          <w:color w:val="000000"/>
          <w:u w:val="single"/>
        </w:rPr>
        <w:t>Methodologie</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BA54E2">
      <w:pPr>
        <w:autoSpaceDE w:val="0"/>
        <w:autoSpaceDN w:val="0"/>
        <w:adjustRightInd w:val="0"/>
        <w:spacing w:line="360" w:lineRule="auto"/>
        <w:ind w:left="567" w:firstLine="1134"/>
        <w:jc w:val="both"/>
        <w:rPr>
          <w:color w:val="000000"/>
        </w:rPr>
      </w:pPr>
      <w:r>
        <w:rPr>
          <w:color w:val="000000"/>
        </w:rPr>
        <w:t>Nous envisageons de mettre en exergue l’intermodalité et l’aspect  bénéfique de la multiplicité des modes de transport collectifs dans un même parcours. Pour cela nous distinguerons deux (02) types de transport collectif ; les transports collectifs en site propre</w:t>
      </w:r>
      <w:r>
        <w:rPr>
          <w:rStyle w:val="FootnoteReference"/>
          <w:color w:val="000000"/>
        </w:rPr>
        <w:footnoteReference w:id="5"/>
      </w:r>
      <w:r>
        <w:rPr>
          <w:color w:val="000000"/>
        </w:rPr>
        <w:t xml:space="preserve"> et les transports collectifs sans site propre.</w:t>
      </w:r>
    </w:p>
    <w:p w:rsidR="00163F7A" w:rsidRDefault="00163F7A" w:rsidP="00135B6B">
      <w:pPr>
        <w:autoSpaceDE w:val="0"/>
        <w:autoSpaceDN w:val="0"/>
        <w:adjustRightInd w:val="0"/>
        <w:spacing w:line="360" w:lineRule="auto"/>
        <w:ind w:left="567" w:firstLine="1134"/>
        <w:jc w:val="both"/>
        <w:rPr>
          <w:color w:val="000000"/>
        </w:rPr>
      </w:pPr>
    </w:p>
    <w:p w:rsidR="00163F7A" w:rsidRDefault="00163F7A" w:rsidP="00135B6B">
      <w:pPr>
        <w:autoSpaceDE w:val="0"/>
        <w:autoSpaceDN w:val="0"/>
        <w:adjustRightInd w:val="0"/>
        <w:spacing w:line="360" w:lineRule="auto"/>
        <w:ind w:left="567" w:firstLine="1134"/>
        <w:jc w:val="both"/>
        <w:rPr>
          <w:color w:val="000000"/>
        </w:rPr>
      </w:pPr>
      <w:r>
        <w:rPr>
          <w:color w:val="000000"/>
        </w:rPr>
        <w:t>Jusque là les infrastructures dédiées aux transports collectifs sont les gares routières, les gares ferroviaires, les stations de bus, d’autocar, de taxis ; mais celles-ci restent distinctes et leur positionnement dans le tissu urbain résulte du fait de l’évolution et l’extension urbaines.</w:t>
      </w:r>
    </w:p>
    <w:p w:rsidR="00163F7A" w:rsidRDefault="00163F7A" w:rsidP="00BA54E2">
      <w:pPr>
        <w:autoSpaceDE w:val="0"/>
        <w:autoSpaceDN w:val="0"/>
        <w:adjustRightInd w:val="0"/>
        <w:spacing w:line="360" w:lineRule="auto"/>
        <w:ind w:left="567" w:firstLine="1134"/>
        <w:jc w:val="both"/>
        <w:rPr>
          <w:color w:val="000000"/>
        </w:rPr>
      </w:pPr>
    </w:p>
    <w:p w:rsidR="00163F7A" w:rsidRDefault="00163F7A" w:rsidP="00BA54E2">
      <w:pPr>
        <w:autoSpaceDE w:val="0"/>
        <w:autoSpaceDN w:val="0"/>
        <w:adjustRightInd w:val="0"/>
        <w:spacing w:line="360" w:lineRule="auto"/>
        <w:ind w:left="567" w:firstLine="1134"/>
        <w:jc w:val="both"/>
        <w:rPr>
          <w:color w:val="000000"/>
        </w:rPr>
      </w:pPr>
      <w:r>
        <w:rPr>
          <w:color w:val="000000"/>
        </w:rPr>
        <w:t xml:space="preserve">Nous avons mené une enquête auprès d’usagers et des administrations chargées du transport et de son aspect urbain (Direction des transports, Syndicat de taxis, APC); nous avons d’emblée trouver des problèmes de relation institutionnelle. </w:t>
      </w:r>
    </w:p>
    <w:p w:rsidR="00163F7A" w:rsidRDefault="00163F7A" w:rsidP="00BA54E2">
      <w:pPr>
        <w:autoSpaceDE w:val="0"/>
        <w:autoSpaceDN w:val="0"/>
        <w:adjustRightInd w:val="0"/>
        <w:spacing w:line="360" w:lineRule="auto"/>
        <w:ind w:left="567" w:firstLine="1134"/>
        <w:jc w:val="both"/>
        <w:rPr>
          <w:color w:val="000000"/>
        </w:rPr>
      </w:pPr>
    </w:p>
    <w:p w:rsidR="00163F7A" w:rsidRDefault="00163F7A" w:rsidP="00BA54E2">
      <w:pPr>
        <w:autoSpaceDE w:val="0"/>
        <w:autoSpaceDN w:val="0"/>
        <w:adjustRightInd w:val="0"/>
        <w:spacing w:line="360" w:lineRule="auto"/>
        <w:ind w:left="567" w:firstLine="1134"/>
        <w:jc w:val="both"/>
        <w:rPr>
          <w:color w:val="000000"/>
        </w:rPr>
      </w:pPr>
      <w:r>
        <w:rPr>
          <w:color w:val="000000"/>
        </w:rPr>
        <w:t>La direction des transports qui gère toutes les pratiques des opérateurs de cette activité de déplacement, n’à aucune obligation sur les itinéraires ni les positions des stations. Celles-ci sont sensées être étudiées par d’autres services ; mais finalement se retrouve décidées de manière collective sans pour autant qu’une responsabilité ne soit identifiée ni définie.</w:t>
      </w:r>
    </w:p>
    <w:p w:rsidR="00163F7A" w:rsidRDefault="00163F7A" w:rsidP="00BA54E2">
      <w:pPr>
        <w:autoSpaceDE w:val="0"/>
        <w:autoSpaceDN w:val="0"/>
        <w:adjustRightInd w:val="0"/>
        <w:spacing w:line="360" w:lineRule="auto"/>
        <w:ind w:left="567" w:firstLine="1134"/>
        <w:jc w:val="both"/>
        <w:rPr>
          <w:color w:val="000000"/>
        </w:rPr>
      </w:pPr>
    </w:p>
    <w:p w:rsidR="00163F7A" w:rsidRDefault="00163F7A" w:rsidP="00BA54E2">
      <w:pPr>
        <w:autoSpaceDE w:val="0"/>
        <w:autoSpaceDN w:val="0"/>
        <w:adjustRightInd w:val="0"/>
        <w:spacing w:line="360" w:lineRule="auto"/>
        <w:ind w:left="567" w:firstLine="1134"/>
        <w:jc w:val="both"/>
        <w:rPr>
          <w:color w:val="000000"/>
        </w:rPr>
      </w:pPr>
      <w:r>
        <w:rPr>
          <w:color w:val="000000"/>
        </w:rPr>
        <w:t>Cette situation nous amène à penser à la nécessité de soulever la question du lien étroit et intrinsèque entre les modes de déplacement, l’itinéraire des déplacements, les positions des stations de déplacement et la qualité de  celui-ci.</w:t>
      </w:r>
    </w:p>
    <w:p w:rsidR="00163F7A" w:rsidRDefault="00163F7A" w:rsidP="00A0068E">
      <w:pPr>
        <w:autoSpaceDE w:val="0"/>
        <w:autoSpaceDN w:val="0"/>
        <w:adjustRightInd w:val="0"/>
        <w:spacing w:line="360" w:lineRule="auto"/>
        <w:ind w:left="567" w:firstLine="1134"/>
        <w:jc w:val="both"/>
        <w:rPr>
          <w:color w:val="000000"/>
        </w:rPr>
      </w:pPr>
    </w:p>
    <w:p w:rsidR="00163F7A" w:rsidRDefault="00163F7A" w:rsidP="00A0068E">
      <w:pPr>
        <w:autoSpaceDE w:val="0"/>
        <w:autoSpaceDN w:val="0"/>
        <w:adjustRightInd w:val="0"/>
        <w:spacing w:line="360" w:lineRule="auto"/>
        <w:ind w:left="567" w:firstLine="1134"/>
        <w:jc w:val="both"/>
        <w:rPr>
          <w:color w:val="000000"/>
        </w:rPr>
      </w:pPr>
      <w:r>
        <w:rPr>
          <w:color w:val="000000"/>
        </w:rPr>
        <w:t>Le choix des usagers reste forfaitaire et conditionné par le facteur économique. L’absence de médiatisation des informations sur les réseaux et la qualité des supports de déplacement ont aboutit à créer des pratiques de déplacement urbain chez l’usager qui rendent difficile l’instauration d’une modernité socio urbaine.</w:t>
      </w:r>
    </w:p>
    <w:p w:rsidR="00163F7A" w:rsidRDefault="00163F7A" w:rsidP="00A0068E">
      <w:pPr>
        <w:autoSpaceDE w:val="0"/>
        <w:autoSpaceDN w:val="0"/>
        <w:adjustRightInd w:val="0"/>
        <w:spacing w:line="360" w:lineRule="auto"/>
        <w:ind w:left="567" w:firstLine="1134"/>
        <w:jc w:val="both"/>
        <w:rPr>
          <w:color w:val="000000"/>
        </w:rPr>
      </w:pPr>
    </w:p>
    <w:p w:rsidR="00163F7A" w:rsidRDefault="00163F7A" w:rsidP="00A0068E">
      <w:pPr>
        <w:autoSpaceDE w:val="0"/>
        <w:autoSpaceDN w:val="0"/>
        <w:adjustRightInd w:val="0"/>
        <w:spacing w:line="360" w:lineRule="auto"/>
        <w:ind w:left="567" w:firstLine="1134"/>
        <w:jc w:val="both"/>
        <w:rPr>
          <w:color w:val="000000"/>
        </w:rPr>
      </w:pPr>
      <w:r>
        <w:rPr>
          <w:color w:val="000000"/>
        </w:rPr>
        <w:t>L’introduction du concept de l’intermodalité passe d’abord par la révision du réseau routier, des schémas structurels de ce réseau, par la rénovation de toute l’armature urbaine.</w:t>
      </w:r>
    </w:p>
    <w:p w:rsidR="00163F7A" w:rsidRDefault="00163F7A" w:rsidP="00A0068E">
      <w:pPr>
        <w:autoSpaceDE w:val="0"/>
        <w:autoSpaceDN w:val="0"/>
        <w:adjustRightInd w:val="0"/>
        <w:spacing w:line="360" w:lineRule="auto"/>
        <w:ind w:left="567" w:firstLine="1134"/>
        <w:jc w:val="both"/>
        <w:rPr>
          <w:color w:val="000000"/>
        </w:rPr>
      </w:pPr>
    </w:p>
    <w:p w:rsidR="00163F7A" w:rsidRDefault="00163F7A" w:rsidP="00A0068E">
      <w:pPr>
        <w:autoSpaceDE w:val="0"/>
        <w:autoSpaceDN w:val="0"/>
        <w:adjustRightInd w:val="0"/>
        <w:spacing w:line="360" w:lineRule="auto"/>
        <w:ind w:left="567" w:firstLine="1134"/>
        <w:jc w:val="both"/>
        <w:rPr>
          <w:color w:val="000000"/>
        </w:rPr>
      </w:pPr>
      <w:r>
        <w:rPr>
          <w:color w:val="000000"/>
        </w:rPr>
        <w:t>La création des pôles d’échanges passe quant à elle par l’instauration d’un arsenal juridique et institutionnel capable d’encadrer toute structure chargée de mettre en relation les différents opérateurs de transport tous modes confondus.</w:t>
      </w:r>
    </w:p>
    <w:p w:rsidR="00163F7A" w:rsidRDefault="00163F7A" w:rsidP="00A0068E">
      <w:pPr>
        <w:autoSpaceDE w:val="0"/>
        <w:autoSpaceDN w:val="0"/>
        <w:adjustRightInd w:val="0"/>
        <w:spacing w:line="360" w:lineRule="auto"/>
        <w:ind w:left="567" w:firstLine="1134"/>
        <w:jc w:val="both"/>
        <w:rPr>
          <w:color w:val="000000"/>
        </w:rPr>
      </w:pPr>
    </w:p>
    <w:p w:rsidR="00163F7A" w:rsidRDefault="00163F7A" w:rsidP="00A0068E">
      <w:pPr>
        <w:autoSpaceDE w:val="0"/>
        <w:autoSpaceDN w:val="0"/>
        <w:adjustRightInd w:val="0"/>
        <w:spacing w:line="360" w:lineRule="auto"/>
        <w:ind w:left="567" w:firstLine="1134"/>
        <w:jc w:val="both"/>
        <w:rPr>
          <w:color w:val="000000"/>
        </w:rPr>
      </w:pPr>
      <w:r>
        <w:rPr>
          <w:color w:val="000000"/>
        </w:rPr>
        <w:t>Il n’est guère question de créer de simples plateformes multimodales pour en faire de simples pôles de transport mais beaucoup plus des centres urbains dédiés au mouvement ; véritable interaction entre transport et urbanisme.</w:t>
      </w:r>
    </w:p>
    <w:p w:rsidR="00163F7A" w:rsidRDefault="00163F7A" w:rsidP="00A0068E">
      <w:pPr>
        <w:autoSpaceDE w:val="0"/>
        <w:autoSpaceDN w:val="0"/>
        <w:adjustRightInd w:val="0"/>
        <w:spacing w:line="360" w:lineRule="auto"/>
        <w:ind w:left="567" w:firstLine="1134"/>
        <w:jc w:val="both"/>
        <w:rPr>
          <w:color w:val="000000"/>
        </w:rPr>
      </w:pPr>
    </w:p>
    <w:p w:rsidR="00163F7A" w:rsidRDefault="00163F7A" w:rsidP="00721B0E">
      <w:pPr>
        <w:autoSpaceDE w:val="0"/>
        <w:autoSpaceDN w:val="0"/>
        <w:adjustRightInd w:val="0"/>
        <w:spacing w:line="360" w:lineRule="auto"/>
        <w:ind w:left="567" w:firstLine="1134"/>
        <w:jc w:val="both"/>
        <w:rPr>
          <w:color w:val="000000"/>
        </w:rPr>
      </w:pPr>
    </w:p>
    <w:p w:rsidR="00163F7A" w:rsidRDefault="00163F7A" w:rsidP="00135B6B">
      <w:pPr>
        <w:pStyle w:val="ListParagraph"/>
        <w:spacing w:after="200" w:line="480" w:lineRule="auto"/>
        <w:ind w:left="1134"/>
        <w:rPr>
          <w:rFonts w:ascii="Times" w:hAnsi="Times" w:cs="Times"/>
        </w:rPr>
      </w:pPr>
    </w:p>
    <w:p w:rsidR="00163F7A" w:rsidRDefault="00163F7A" w:rsidP="00721B0E">
      <w:pPr>
        <w:autoSpaceDE w:val="0"/>
        <w:autoSpaceDN w:val="0"/>
        <w:adjustRightInd w:val="0"/>
        <w:spacing w:line="360" w:lineRule="auto"/>
        <w:ind w:left="567" w:firstLine="1134"/>
        <w:jc w:val="both"/>
        <w:rPr>
          <w:color w:val="000000"/>
          <w:highlight w:val="yellow"/>
        </w:rPr>
      </w:pPr>
    </w:p>
    <w:p w:rsidR="00163F7A" w:rsidRDefault="00163F7A"/>
    <w:sectPr w:rsidR="00163F7A" w:rsidSect="00BE516F">
      <w:headerReference w:type="default" r:id="rId7"/>
      <w:footerReference w:type="even" r:id="rId8"/>
      <w:footerReference w:type="default" r:id="rId9"/>
      <w:pgSz w:w="11906" w:h="16838"/>
      <w:pgMar w:top="1440" w:right="1800" w:bottom="1440" w:left="1134" w:header="708" w:footer="708"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F7A" w:rsidRDefault="00163F7A" w:rsidP="00135B6B">
      <w:r>
        <w:separator/>
      </w:r>
    </w:p>
  </w:endnote>
  <w:endnote w:type="continuationSeparator" w:id="1">
    <w:p w:rsidR="00163F7A" w:rsidRDefault="00163F7A" w:rsidP="00135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F7A" w:rsidRDefault="00163F7A" w:rsidP="00EB09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163F7A" w:rsidRDefault="00163F7A" w:rsidP="00BE516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F7A" w:rsidRDefault="00163F7A" w:rsidP="00EB09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163F7A" w:rsidRDefault="00163F7A" w:rsidP="00BE516F">
    <w:pPr>
      <w:pStyle w:val="Footer"/>
      <w:pBdr>
        <w:top w:val="thinThickSmallGap" w:sz="24" w:space="0" w:color="622423"/>
      </w:pBdr>
      <w:tabs>
        <w:tab w:val="clear" w:pos="4536"/>
        <w:tab w:val="clear" w:pos="9072"/>
        <w:tab w:val="right" w:pos="9638"/>
      </w:tabs>
      <w:ind w:right="360"/>
      <w:rPr>
        <w:rFonts w:ascii="Cambria" w:hAnsi="Cambria"/>
      </w:rPr>
    </w:pPr>
    <w:r>
      <w:rPr>
        <w:rFonts w:ascii="Cambria" w:hAnsi="Cambria"/>
        <w:sz w:val="16"/>
        <w:szCs w:val="16"/>
      </w:rPr>
      <w:t xml:space="preserve">Intermodalité et Systèmes de Transport Durables – Cas de </w:t>
    </w:r>
    <w:smartTag w:uri="urn:schemas-microsoft-com:office:smarttags" w:element="PersonName">
      <w:smartTagPr>
        <w:attr w:name="ProductID" w:val="la Wilaya"/>
      </w:smartTagPr>
      <w:r>
        <w:rPr>
          <w:rFonts w:ascii="Cambria" w:hAnsi="Cambria"/>
          <w:sz w:val="16"/>
          <w:szCs w:val="16"/>
        </w:rPr>
        <w:t>la Wilaya</w:t>
      </w:r>
    </w:smartTag>
    <w:r>
      <w:rPr>
        <w:rFonts w:ascii="Cambria" w:hAnsi="Cambria"/>
        <w:sz w:val="16"/>
        <w:szCs w:val="16"/>
      </w:rPr>
      <w:t xml:space="preserve"> de Mostaganem-                                                                      Page</w:t>
    </w:r>
    <w:r>
      <w:rPr>
        <w:rFonts w:ascii="Cambria" w:hAnsi="Cambria"/>
        <w:sz w:val="16"/>
        <w:szCs w:val="16"/>
      </w:rPr>
      <w:tab/>
    </w:r>
    <w:r>
      <w:rPr>
        <w:rFonts w:ascii="Cambria" w:hAnsi="Cambria"/>
      </w:rPr>
      <w:t xml:space="preserve"> </w:t>
    </w:r>
  </w:p>
  <w:p w:rsidR="00163F7A" w:rsidRDefault="00163F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F7A" w:rsidRDefault="00163F7A" w:rsidP="00135B6B">
      <w:r>
        <w:separator/>
      </w:r>
    </w:p>
  </w:footnote>
  <w:footnote w:type="continuationSeparator" w:id="1">
    <w:p w:rsidR="00163F7A" w:rsidRDefault="00163F7A" w:rsidP="00135B6B">
      <w:r>
        <w:continuationSeparator/>
      </w:r>
    </w:p>
  </w:footnote>
  <w:footnote w:id="2">
    <w:p w:rsidR="00163F7A" w:rsidRDefault="00163F7A">
      <w:pPr>
        <w:pStyle w:val="FootnoteText"/>
      </w:pPr>
      <w:r>
        <w:rPr>
          <w:rStyle w:val="FootnoteReference"/>
        </w:rPr>
        <w:footnoteRef/>
      </w:r>
      <w:r>
        <w:t xml:space="preserve"> Heugène Hénard – 1849-1923 ; Le trafic rationalisé ; TECHNOTOPIE – Françoise Choay –« L’urbanisme, utopies et réalités. Une anthologie »</w:t>
      </w:r>
    </w:p>
  </w:footnote>
  <w:footnote w:id="3">
    <w:p w:rsidR="00163F7A" w:rsidRDefault="00163F7A" w:rsidP="00135B6B">
      <w:pPr>
        <w:pStyle w:val="FootnoteText"/>
      </w:pPr>
      <w:r>
        <w:rPr>
          <w:rStyle w:val="FootnoteReference"/>
        </w:rPr>
        <w:footnoteRef/>
      </w:r>
      <w:r>
        <w:t xml:space="preserve"> Portée juridique des instruments d’urbanisme (PDAU  et POS)</w:t>
      </w:r>
    </w:p>
  </w:footnote>
  <w:footnote w:id="4">
    <w:p w:rsidR="00163F7A" w:rsidRDefault="00163F7A" w:rsidP="00D45904">
      <w:pPr>
        <w:pStyle w:val="FootnoteText"/>
      </w:pPr>
      <w:r>
        <w:rPr>
          <w:rStyle w:val="FootnoteReference"/>
        </w:rPr>
        <w:footnoteRef/>
      </w:r>
      <w:r>
        <w:t xml:space="preserve"> Etude de faisabilité adoptée en 2010 pour le projet de tramway desservant Mostaganem-ville allant de </w:t>
      </w:r>
      <w:smartTag w:uri="urn:schemas-microsoft-com:office:smarttags" w:element="PersonName">
        <w:smartTagPr>
          <w:attr w:name="ProductID" w:val="la WET Sablettes"/>
        </w:smartTagPr>
        <w:r>
          <w:t>la WET Sablettes</w:t>
        </w:r>
      </w:smartTag>
      <w:r>
        <w:t xml:space="preserve"> (MostaganemOuest)  à Kharrouba (Mostaganem Est)</w:t>
      </w:r>
    </w:p>
  </w:footnote>
  <w:footnote w:id="5">
    <w:p w:rsidR="00163F7A" w:rsidRDefault="00163F7A" w:rsidP="00135B6B">
      <w:pPr>
        <w:pStyle w:val="FootnoteText"/>
      </w:pPr>
      <w:r>
        <w:rPr>
          <w:rStyle w:val="FootnoteReference"/>
        </w:rPr>
        <w:footnoteRef/>
      </w:r>
      <w:r>
        <w:t xml:space="preserve"> Ou transports en commun en site propres (TCP)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F7A" w:rsidRPr="00135B6B" w:rsidRDefault="00163F7A" w:rsidP="00135B6B">
    <w:pPr>
      <w:pStyle w:val="Header"/>
      <w:jc w:val="right"/>
      <w:rPr>
        <w:i/>
        <w:iCs/>
        <w:sz w:val="20"/>
        <w:szCs w:val="20"/>
        <w:u w:val="single"/>
      </w:rPr>
    </w:pPr>
    <w:r>
      <w:rPr>
        <w:noProof/>
      </w:rPr>
      <w:pict>
        <v:shapetype id="_x0000_t32" coordsize="21600,21600" o:spt="32" o:oned="t" path="m,l21600,21600e" filled="f">
          <v:path arrowok="t" fillok="f" o:connecttype="none"/>
          <o:lock v:ext="edit" shapetype="t"/>
        </v:shapetype>
        <v:shape id="_x0000_s2049" type="#_x0000_t32" style="position:absolute;left:0;text-align:left;margin-left:25.95pt;margin-top:22.9pt;width:424.9pt;height:0;z-index:251660288" o:connectortype="straight" strokeweight="1.5pt"/>
      </w:pict>
    </w:r>
    <w:r w:rsidRPr="00135B6B">
      <w:rPr>
        <w:i/>
        <w:iCs/>
        <w:sz w:val="20"/>
        <w:szCs w:val="20"/>
        <w:u w:val="single"/>
      </w:rPr>
      <w:t>INTRODUCTION GENERALE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C11FE"/>
    <w:multiLevelType w:val="hybridMultilevel"/>
    <w:tmpl w:val="E48C8184"/>
    <w:lvl w:ilvl="0" w:tplc="040C000F">
      <w:start w:val="1"/>
      <w:numFmt w:val="decimal"/>
      <w:lvlText w:val="%1."/>
      <w:lvlJc w:val="left"/>
      <w:pPr>
        <w:tabs>
          <w:tab w:val="num" w:pos="2421"/>
        </w:tabs>
        <w:ind w:left="2421" w:hanging="360"/>
      </w:pPr>
      <w:rPr>
        <w:rFonts w:cs="Times New Roman"/>
      </w:rPr>
    </w:lvl>
    <w:lvl w:ilvl="1" w:tplc="040C0019" w:tentative="1">
      <w:start w:val="1"/>
      <w:numFmt w:val="lowerLetter"/>
      <w:lvlText w:val="%2."/>
      <w:lvlJc w:val="left"/>
      <w:pPr>
        <w:tabs>
          <w:tab w:val="num" w:pos="3141"/>
        </w:tabs>
        <w:ind w:left="3141" w:hanging="360"/>
      </w:pPr>
      <w:rPr>
        <w:rFonts w:cs="Times New Roman"/>
      </w:rPr>
    </w:lvl>
    <w:lvl w:ilvl="2" w:tplc="040C001B" w:tentative="1">
      <w:start w:val="1"/>
      <w:numFmt w:val="lowerRoman"/>
      <w:lvlText w:val="%3."/>
      <w:lvlJc w:val="right"/>
      <w:pPr>
        <w:tabs>
          <w:tab w:val="num" w:pos="3861"/>
        </w:tabs>
        <w:ind w:left="3861" w:hanging="180"/>
      </w:pPr>
      <w:rPr>
        <w:rFonts w:cs="Times New Roman"/>
      </w:rPr>
    </w:lvl>
    <w:lvl w:ilvl="3" w:tplc="040C000F" w:tentative="1">
      <w:start w:val="1"/>
      <w:numFmt w:val="decimal"/>
      <w:lvlText w:val="%4."/>
      <w:lvlJc w:val="left"/>
      <w:pPr>
        <w:tabs>
          <w:tab w:val="num" w:pos="4581"/>
        </w:tabs>
        <w:ind w:left="4581" w:hanging="360"/>
      </w:pPr>
      <w:rPr>
        <w:rFonts w:cs="Times New Roman"/>
      </w:rPr>
    </w:lvl>
    <w:lvl w:ilvl="4" w:tplc="040C0019" w:tentative="1">
      <w:start w:val="1"/>
      <w:numFmt w:val="lowerLetter"/>
      <w:lvlText w:val="%5."/>
      <w:lvlJc w:val="left"/>
      <w:pPr>
        <w:tabs>
          <w:tab w:val="num" w:pos="5301"/>
        </w:tabs>
        <w:ind w:left="5301" w:hanging="360"/>
      </w:pPr>
      <w:rPr>
        <w:rFonts w:cs="Times New Roman"/>
      </w:rPr>
    </w:lvl>
    <w:lvl w:ilvl="5" w:tplc="040C001B" w:tentative="1">
      <w:start w:val="1"/>
      <w:numFmt w:val="lowerRoman"/>
      <w:lvlText w:val="%6."/>
      <w:lvlJc w:val="right"/>
      <w:pPr>
        <w:tabs>
          <w:tab w:val="num" w:pos="6021"/>
        </w:tabs>
        <w:ind w:left="6021" w:hanging="180"/>
      </w:pPr>
      <w:rPr>
        <w:rFonts w:cs="Times New Roman"/>
      </w:rPr>
    </w:lvl>
    <w:lvl w:ilvl="6" w:tplc="040C000F" w:tentative="1">
      <w:start w:val="1"/>
      <w:numFmt w:val="decimal"/>
      <w:lvlText w:val="%7."/>
      <w:lvlJc w:val="left"/>
      <w:pPr>
        <w:tabs>
          <w:tab w:val="num" w:pos="6741"/>
        </w:tabs>
        <w:ind w:left="6741" w:hanging="360"/>
      </w:pPr>
      <w:rPr>
        <w:rFonts w:cs="Times New Roman"/>
      </w:rPr>
    </w:lvl>
    <w:lvl w:ilvl="7" w:tplc="040C0019" w:tentative="1">
      <w:start w:val="1"/>
      <w:numFmt w:val="lowerLetter"/>
      <w:lvlText w:val="%8."/>
      <w:lvlJc w:val="left"/>
      <w:pPr>
        <w:tabs>
          <w:tab w:val="num" w:pos="7461"/>
        </w:tabs>
        <w:ind w:left="7461" w:hanging="360"/>
      </w:pPr>
      <w:rPr>
        <w:rFonts w:cs="Times New Roman"/>
      </w:rPr>
    </w:lvl>
    <w:lvl w:ilvl="8" w:tplc="040C001B" w:tentative="1">
      <w:start w:val="1"/>
      <w:numFmt w:val="lowerRoman"/>
      <w:lvlText w:val="%9."/>
      <w:lvlJc w:val="right"/>
      <w:pPr>
        <w:tabs>
          <w:tab w:val="num" w:pos="8181"/>
        </w:tabs>
        <w:ind w:left="8181" w:hanging="180"/>
      </w:pPr>
      <w:rPr>
        <w:rFonts w:cs="Times New Roman"/>
      </w:rPr>
    </w:lvl>
  </w:abstractNum>
  <w:abstractNum w:abstractNumId="1">
    <w:nsid w:val="1A671249"/>
    <w:multiLevelType w:val="hybridMultilevel"/>
    <w:tmpl w:val="74B6F76C"/>
    <w:lvl w:ilvl="0" w:tplc="040C0015">
      <w:start w:val="1"/>
      <w:numFmt w:val="upperLetter"/>
      <w:lvlText w:val="%1."/>
      <w:lvlJc w:val="left"/>
      <w:pPr>
        <w:ind w:left="2138" w:hanging="360"/>
      </w:pPr>
      <w:rPr>
        <w:rFonts w:cs="Times New Roman"/>
      </w:rPr>
    </w:lvl>
    <w:lvl w:ilvl="1" w:tplc="040C000F">
      <w:start w:val="1"/>
      <w:numFmt w:val="decimal"/>
      <w:lvlText w:val="%2."/>
      <w:lvlJc w:val="left"/>
      <w:pPr>
        <w:tabs>
          <w:tab w:val="num" w:pos="2858"/>
        </w:tabs>
        <w:ind w:left="2858" w:hanging="360"/>
      </w:pPr>
      <w:rPr>
        <w:rFonts w:cs="Times New Roman"/>
      </w:rPr>
    </w:lvl>
    <w:lvl w:ilvl="2" w:tplc="040C001B" w:tentative="1">
      <w:start w:val="1"/>
      <w:numFmt w:val="lowerRoman"/>
      <w:lvlText w:val="%3."/>
      <w:lvlJc w:val="right"/>
      <w:pPr>
        <w:ind w:left="3578" w:hanging="180"/>
      </w:pPr>
      <w:rPr>
        <w:rFonts w:cs="Times New Roman"/>
      </w:rPr>
    </w:lvl>
    <w:lvl w:ilvl="3" w:tplc="040C000F" w:tentative="1">
      <w:start w:val="1"/>
      <w:numFmt w:val="decimal"/>
      <w:lvlText w:val="%4."/>
      <w:lvlJc w:val="left"/>
      <w:pPr>
        <w:ind w:left="4298" w:hanging="360"/>
      </w:pPr>
      <w:rPr>
        <w:rFonts w:cs="Times New Roman"/>
      </w:rPr>
    </w:lvl>
    <w:lvl w:ilvl="4" w:tplc="040C0019" w:tentative="1">
      <w:start w:val="1"/>
      <w:numFmt w:val="lowerLetter"/>
      <w:lvlText w:val="%5."/>
      <w:lvlJc w:val="left"/>
      <w:pPr>
        <w:ind w:left="5018" w:hanging="360"/>
      </w:pPr>
      <w:rPr>
        <w:rFonts w:cs="Times New Roman"/>
      </w:rPr>
    </w:lvl>
    <w:lvl w:ilvl="5" w:tplc="040C001B" w:tentative="1">
      <w:start w:val="1"/>
      <w:numFmt w:val="lowerRoman"/>
      <w:lvlText w:val="%6."/>
      <w:lvlJc w:val="right"/>
      <w:pPr>
        <w:ind w:left="5738" w:hanging="180"/>
      </w:pPr>
      <w:rPr>
        <w:rFonts w:cs="Times New Roman"/>
      </w:rPr>
    </w:lvl>
    <w:lvl w:ilvl="6" w:tplc="040C000F" w:tentative="1">
      <w:start w:val="1"/>
      <w:numFmt w:val="decimal"/>
      <w:lvlText w:val="%7."/>
      <w:lvlJc w:val="left"/>
      <w:pPr>
        <w:ind w:left="6458" w:hanging="360"/>
      </w:pPr>
      <w:rPr>
        <w:rFonts w:cs="Times New Roman"/>
      </w:rPr>
    </w:lvl>
    <w:lvl w:ilvl="7" w:tplc="040C0019" w:tentative="1">
      <w:start w:val="1"/>
      <w:numFmt w:val="lowerLetter"/>
      <w:lvlText w:val="%8."/>
      <w:lvlJc w:val="left"/>
      <w:pPr>
        <w:ind w:left="7178" w:hanging="360"/>
      </w:pPr>
      <w:rPr>
        <w:rFonts w:cs="Times New Roman"/>
      </w:rPr>
    </w:lvl>
    <w:lvl w:ilvl="8" w:tplc="040C001B" w:tentative="1">
      <w:start w:val="1"/>
      <w:numFmt w:val="lowerRoman"/>
      <w:lvlText w:val="%9."/>
      <w:lvlJc w:val="right"/>
      <w:pPr>
        <w:ind w:left="7898" w:hanging="180"/>
      </w:pPr>
      <w:rPr>
        <w:rFonts w:cs="Times New Roman"/>
      </w:rPr>
    </w:lvl>
  </w:abstractNum>
  <w:abstractNum w:abstractNumId="2">
    <w:nsid w:val="54A62D16"/>
    <w:multiLevelType w:val="hybridMultilevel"/>
    <w:tmpl w:val="BACCDEDE"/>
    <w:lvl w:ilvl="0" w:tplc="040C0015">
      <w:start w:val="1"/>
      <w:numFmt w:val="upperLetter"/>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54C608B3"/>
    <w:multiLevelType w:val="hybridMultilevel"/>
    <w:tmpl w:val="479EEC32"/>
    <w:lvl w:ilvl="0" w:tplc="040C0013">
      <w:start w:val="1"/>
      <w:numFmt w:val="upperRoman"/>
      <w:lvlText w:val="%1."/>
      <w:lvlJc w:val="right"/>
      <w:pPr>
        <w:ind w:left="2138" w:hanging="360"/>
      </w:pPr>
      <w:rPr>
        <w:rFonts w:cs="Times New Roman"/>
      </w:rPr>
    </w:lvl>
    <w:lvl w:ilvl="1" w:tplc="040C0019" w:tentative="1">
      <w:start w:val="1"/>
      <w:numFmt w:val="lowerLetter"/>
      <w:lvlText w:val="%2."/>
      <w:lvlJc w:val="left"/>
      <w:pPr>
        <w:ind w:left="2858" w:hanging="360"/>
      </w:pPr>
      <w:rPr>
        <w:rFonts w:cs="Times New Roman"/>
      </w:rPr>
    </w:lvl>
    <w:lvl w:ilvl="2" w:tplc="040C001B" w:tentative="1">
      <w:start w:val="1"/>
      <w:numFmt w:val="lowerRoman"/>
      <w:lvlText w:val="%3."/>
      <w:lvlJc w:val="right"/>
      <w:pPr>
        <w:ind w:left="3578" w:hanging="180"/>
      </w:pPr>
      <w:rPr>
        <w:rFonts w:cs="Times New Roman"/>
      </w:rPr>
    </w:lvl>
    <w:lvl w:ilvl="3" w:tplc="040C000F" w:tentative="1">
      <w:start w:val="1"/>
      <w:numFmt w:val="decimal"/>
      <w:lvlText w:val="%4."/>
      <w:lvlJc w:val="left"/>
      <w:pPr>
        <w:ind w:left="4298" w:hanging="360"/>
      </w:pPr>
      <w:rPr>
        <w:rFonts w:cs="Times New Roman"/>
      </w:rPr>
    </w:lvl>
    <w:lvl w:ilvl="4" w:tplc="040C0019" w:tentative="1">
      <w:start w:val="1"/>
      <w:numFmt w:val="lowerLetter"/>
      <w:lvlText w:val="%5."/>
      <w:lvlJc w:val="left"/>
      <w:pPr>
        <w:ind w:left="5018" w:hanging="360"/>
      </w:pPr>
      <w:rPr>
        <w:rFonts w:cs="Times New Roman"/>
      </w:rPr>
    </w:lvl>
    <w:lvl w:ilvl="5" w:tplc="040C001B" w:tentative="1">
      <w:start w:val="1"/>
      <w:numFmt w:val="lowerRoman"/>
      <w:lvlText w:val="%6."/>
      <w:lvlJc w:val="right"/>
      <w:pPr>
        <w:ind w:left="5738" w:hanging="180"/>
      </w:pPr>
      <w:rPr>
        <w:rFonts w:cs="Times New Roman"/>
      </w:rPr>
    </w:lvl>
    <w:lvl w:ilvl="6" w:tplc="040C000F" w:tentative="1">
      <w:start w:val="1"/>
      <w:numFmt w:val="decimal"/>
      <w:lvlText w:val="%7."/>
      <w:lvlJc w:val="left"/>
      <w:pPr>
        <w:ind w:left="6458" w:hanging="360"/>
      </w:pPr>
      <w:rPr>
        <w:rFonts w:cs="Times New Roman"/>
      </w:rPr>
    </w:lvl>
    <w:lvl w:ilvl="7" w:tplc="040C0019" w:tentative="1">
      <w:start w:val="1"/>
      <w:numFmt w:val="lowerLetter"/>
      <w:lvlText w:val="%8."/>
      <w:lvlJc w:val="left"/>
      <w:pPr>
        <w:ind w:left="7178" w:hanging="360"/>
      </w:pPr>
      <w:rPr>
        <w:rFonts w:cs="Times New Roman"/>
      </w:rPr>
    </w:lvl>
    <w:lvl w:ilvl="8" w:tplc="040C001B" w:tentative="1">
      <w:start w:val="1"/>
      <w:numFmt w:val="lowerRoman"/>
      <w:lvlText w:val="%9."/>
      <w:lvlJc w:val="right"/>
      <w:pPr>
        <w:ind w:left="7898"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7"/>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B6B"/>
    <w:rsid w:val="0002797D"/>
    <w:rsid w:val="000850CA"/>
    <w:rsid w:val="000F03CE"/>
    <w:rsid w:val="00135B6B"/>
    <w:rsid w:val="001439CE"/>
    <w:rsid w:val="001503E6"/>
    <w:rsid w:val="00163F7A"/>
    <w:rsid w:val="00193246"/>
    <w:rsid w:val="001A4062"/>
    <w:rsid w:val="001D5554"/>
    <w:rsid w:val="00201E7E"/>
    <w:rsid w:val="00230265"/>
    <w:rsid w:val="00246C83"/>
    <w:rsid w:val="0025245C"/>
    <w:rsid w:val="002A55B9"/>
    <w:rsid w:val="002C6D94"/>
    <w:rsid w:val="003430E3"/>
    <w:rsid w:val="003534B2"/>
    <w:rsid w:val="00385759"/>
    <w:rsid w:val="003B2D4D"/>
    <w:rsid w:val="003B4807"/>
    <w:rsid w:val="003C7B04"/>
    <w:rsid w:val="003E014F"/>
    <w:rsid w:val="00434FE4"/>
    <w:rsid w:val="00456D3B"/>
    <w:rsid w:val="00465362"/>
    <w:rsid w:val="004869A2"/>
    <w:rsid w:val="004B15E3"/>
    <w:rsid w:val="004C2B6B"/>
    <w:rsid w:val="004E6B8F"/>
    <w:rsid w:val="0056147C"/>
    <w:rsid w:val="00634BA4"/>
    <w:rsid w:val="00684FB8"/>
    <w:rsid w:val="006C4948"/>
    <w:rsid w:val="00721B0E"/>
    <w:rsid w:val="00770AF3"/>
    <w:rsid w:val="00784A25"/>
    <w:rsid w:val="007D37D2"/>
    <w:rsid w:val="007E3C7F"/>
    <w:rsid w:val="00806268"/>
    <w:rsid w:val="00850711"/>
    <w:rsid w:val="00865157"/>
    <w:rsid w:val="008764F2"/>
    <w:rsid w:val="008A3B2B"/>
    <w:rsid w:val="00955E63"/>
    <w:rsid w:val="00956515"/>
    <w:rsid w:val="00983D96"/>
    <w:rsid w:val="009F2659"/>
    <w:rsid w:val="00A0068E"/>
    <w:rsid w:val="00A54DBD"/>
    <w:rsid w:val="00A7112D"/>
    <w:rsid w:val="00AE25E8"/>
    <w:rsid w:val="00AF3BB6"/>
    <w:rsid w:val="00B07520"/>
    <w:rsid w:val="00B50BEA"/>
    <w:rsid w:val="00BA54E2"/>
    <w:rsid w:val="00BE516F"/>
    <w:rsid w:val="00C2297B"/>
    <w:rsid w:val="00C81A5D"/>
    <w:rsid w:val="00C85969"/>
    <w:rsid w:val="00CB7DB8"/>
    <w:rsid w:val="00D15513"/>
    <w:rsid w:val="00D408C3"/>
    <w:rsid w:val="00D45904"/>
    <w:rsid w:val="00D513F2"/>
    <w:rsid w:val="00D664A9"/>
    <w:rsid w:val="00D844DF"/>
    <w:rsid w:val="00DB4F9E"/>
    <w:rsid w:val="00DB5765"/>
    <w:rsid w:val="00DB5FE9"/>
    <w:rsid w:val="00DE23E7"/>
    <w:rsid w:val="00DE39BD"/>
    <w:rsid w:val="00E04D5D"/>
    <w:rsid w:val="00E94D1B"/>
    <w:rsid w:val="00EB09A6"/>
    <w:rsid w:val="00EC7F4F"/>
    <w:rsid w:val="00F224ED"/>
    <w:rsid w:val="00F72F15"/>
    <w:rsid w:val="00F77952"/>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B6B"/>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8A17C7"/>
    <w:rPr>
      <w:rFonts w:ascii="Times New Roman" w:eastAsia="Times New Roman" w:hAnsi="Times New Roman" w:cs="Times New Roman"/>
      <w:sz w:val="0"/>
      <w:szCs w:val="0"/>
    </w:rPr>
  </w:style>
  <w:style w:type="paragraph" w:styleId="ListParagraph">
    <w:name w:val="List Paragraph"/>
    <w:basedOn w:val="Normal"/>
    <w:uiPriority w:val="99"/>
    <w:qFormat/>
    <w:rsid w:val="00135B6B"/>
    <w:pPr>
      <w:ind w:left="720"/>
      <w:contextualSpacing/>
    </w:pPr>
  </w:style>
  <w:style w:type="paragraph" w:styleId="FootnoteText">
    <w:name w:val="footnote text"/>
    <w:basedOn w:val="Normal"/>
    <w:link w:val="FootnoteTextChar"/>
    <w:uiPriority w:val="99"/>
    <w:rsid w:val="00135B6B"/>
    <w:rPr>
      <w:sz w:val="20"/>
      <w:szCs w:val="20"/>
    </w:rPr>
  </w:style>
  <w:style w:type="character" w:customStyle="1" w:styleId="FootnoteTextChar">
    <w:name w:val="Footnote Text Char"/>
    <w:basedOn w:val="DefaultParagraphFont"/>
    <w:link w:val="FootnoteText"/>
    <w:uiPriority w:val="99"/>
    <w:locked/>
    <w:rsid w:val="00135B6B"/>
    <w:rPr>
      <w:rFonts w:ascii="Times New Roman" w:hAnsi="Times New Roman" w:cs="Times New Roman"/>
      <w:sz w:val="20"/>
      <w:szCs w:val="20"/>
      <w:lang w:eastAsia="fr-FR"/>
    </w:rPr>
  </w:style>
  <w:style w:type="character" w:styleId="FootnoteReference">
    <w:name w:val="footnote reference"/>
    <w:basedOn w:val="DefaultParagraphFont"/>
    <w:uiPriority w:val="99"/>
    <w:rsid w:val="00135B6B"/>
    <w:rPr>
      <w:rFonts w:cs="Times New Roman"/>
      <w:vertAlign w:val="superscript"/>
    </w:rPr>
  </w:style>
  <w:style w:type="paragraph" w:styleId="Header">
    <w:name w:val="header"/>
    <w:basedOn w:val="Normal"/>
    <w:link w:val="HeaderChar"/>
    <w:uiPriority w:val="99"/>
    <w:semiHidden/>
    <w:rsid w:val="00135B6B"/>
    <w:pPr>
      <w:tabs>
        <w:tab w:val="center" w:pos="4536"/>
        <w:tab w:val="right" w:pos="9072"/>
      </w:tabs>
    </w:pPr>
  </w:style>
  <w:style w:type="character" w:customStyle="1" w:styleId="HeaderChar">
    <w:name w:val="Header Char"/>
    <w:basedOn w:val="DefaultParagraphFont"/>
    <w:link w:val="Header"/>
    <w:uiPriority w:val="99"/>
    <w:semiHidden/>
    <w:locked/>
    <w:rsid w:val="00135B6B"/>
    <w:rPr>
      <w:rFonts w:ascii="Times New Roman" w:hAnsi="Times New Roman" w:cs="Times New Roman"/>
      <w:sz w:val="24"/>
      <w:szCs w:val="24"/>
      <w:lang w:eastAsia="fr-FR"/>
    </w:rPr>
  </w:style>
  <w:style w:type="paragraph" w:styleId="Footer">
    <w:name w:val="footer"/>
    <w:basedOn w:val="Normal"/>
    <w:link w:val="FooterChar"/>
    <w:uiPriority w:val="99"/>
    <w:rsid w:val="00135B6B"/>
    <w:pPr>
      <w:tabs>
        <w:tab w:val="center" w:pos="4536"/>
        <w:tab w:val="right" w:pos="9072"/>
      </w:tabs>
    </w:pPr>
  </w:style>
  <w:style w:type="character" w:customStyle="1" w:styleId="FooterChar">
    <w:name w:val="Footer Char"/>
    <w:basedOn w:val="DefaultParagraphFont"/>
    <w:link w:val="Footer"/>
    <w:uiPriority w:val="99"/>
    <w:locked/>
    <w:rsid w:val="00135B6B"/>
    <w:rPr>
      <w:rFonts w:ascii="Times New Roman" w:hAnsi="Times New Roman" w:cs="Times New Roman"/>
      <w:sz w:val="24"/>
      <w:szCs w:val="24"/>
      <w:lang w:eastAsia="fr-FR"/>
    </w:rPr>
  </w:style>
  <w:style w:type="character" w:styleId="PageNumber">
    <w:name w:val="page number"/>
    <w:basedOn w:val="DefaultParagraphFont"/>
    <w:uiPriority w:val="99"/>
    <w:rsid w:val="00BE516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215</TotalTime>
  <Pages>8</Pages>
  <Words>1693</Words>
  <Characters>9317</Characters>
  <Application>Microsoft Office Outlook</Application>
  <DocSecurity>0</DocSecurity>
  <Lines>0</Lines>
  <Paragraphs>0</Paragraphs>
  <ScaleCrop>false</ScaleCrop>
  <Company>SERVICES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GENERALE</dc:title>
  <dc:subject/>
  <dc:creator>PC27</dc:creator>
  <cp:keywords/>
  <dc:description/>
  <cp:lastModifiedBy>3D INFO</cp:lastModifiedBy>
  <cp:revision>13</cp:revision>
  <cp:lastPrinted>2011-07-06T15:57:00Z</cp:lastPrinted>
  <dcterms:created xsi:type="dcterms:W3CDTF">2011-06-24T20:18:00Z</dcterms:created>
  <dcterms:modified xsi:type="dcterms:W3CDTF">2011-07-06T16:55:00Z</dcterms:modified>
</cp:coreProperties>
</file>